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ЛОДКИ ИЛИ КАТЕРА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судно: тип ______, марка ______, заводской номер корпуса ______, год ______, длина ______ м, масса ______ кг, двигатель и номер ______, мощность ______ кВт, судовой билет (при наличии)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Стороны согласовали статус судна: [подлежит / не подлежит] государственной регистрации; сведения реестра и регистрационный номер (если имеются): ____________. Продавец передаёт судовой билет и документы на двигатель при их наличии. Покупатель выполняет необходимые действия по регистрации права в ГИМС МЧС России.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Если судно подлежит государственной регистрации права собственности в реестре маломерных судов, право собственности возникает у Покупателя с момента регистрации этого права (статья 15 КВВТ РФ). Если судно не подлежит регистрации, право переходит по общим правилам ГК РФ. Риск случайной гибели вещи определяется статьёй 459 ГК РФ и условиями передачи.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Дополнительно учитываются специальные требования к регистрации судов по законодательству о маломерных судах.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