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ВЕДЕНИЕ КАРТОЧЕК ТОВАРОВ НА МАРКЕТПЛЕЙСАХ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сопровождение товарных карточек [площадки, кабинет/магазин, перечень SKU/артикулов и лимиты по числу карточек, перечень работ: исправление характеристик, описания, изображения, ошибки каталога, отчёты]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[всё задание/час/занятие/период].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Заказчик предоставляет исходные документы о товарах, цены и сведения о брендах; отвечает за достоверность предоставленных сведений и право распоряжаться маркированными материалами. Исполнитель работает только в пределах выданной роли; без отдельного письменного разрешения не вправе изменять цены, банковские данные, остатки, рекламные бюджеты, схемы поставок, удалять товары или заказы. Изменения фиксируются в отчёте с артикулом, датой и действием; доступы по окончании прекращаются. Обработка персональных данных допускается лишь при законном основании и необходимых ограничениях.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Молчание не лишает обязательных законных требований при скрытых недостатках.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При потребительском заказе применяется статья 32 Закона № 2300-1, не допускается автоматический невозврат всего аванса.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регулируют возмездные услуги, Закон № 152-ФЗ — обработку персональных данных при наличии законного доступа.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