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МОТОЦИКЛА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мотоцикл: марка ______, модель ______, VIN/номер рамы ______, год ______, объём двигателя ______ куб. см, ПТС/ЭПТС ______, СТС ______, госномер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Продавец передаёт Покупателю имеющиеся регистрационные документы и ключи в количестве, указанном в пункте 4.1. Покупатель проверил номер рамы и известные ограничения. Обязанность изменить регистрационные данные при применимости исполняет Покупатель в установленный законом срок.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вещи, если закон не предусматривает иное. Риск случайной гибели переходит по статье 459 ГК РФ.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При применимости используются положения Федерального закона № 283-ФЗ о госучёте транспортных средств.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