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МОПЕДА ИЛИ СКУТЕРА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мопед/скутер: марка ______, модель ______, номер рамы ______, год ______, объём ДВС ______ куб. см / мощность электродвигателя ______ кВт, конструктивная скорость ______ км/ч, документы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Продавец сообщил технические характеристики двигателя и максимальную конструктивную скорость, указанные в пункте 1.1. Покупатель ознакомился с ними; необходимость регистрации и категория водительского удостоверения определяются законом по фактическим характеристикам транспортного средства.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вещи, если закон не предусматривает иное. Риск случайной гибели переходит по статье 459 ГК РФ.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При применимости используются положения Федерального закона № 283-ФЗ о госучёте транспортных средств.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