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СОГЛАШЕНИЕ О ЗАЧЁТЕ ВСТРЕЧНЫХ ОДНОРОДНЫХ ТРЕБОВАНИЙ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А: [наименование/ФИО, реквизиты и полномочия]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Б: [наименование/ФИО, реквизиты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ТРЕБОВАНИЯ СТОРОН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Денежное требование Стороны А к Стороне Б: основание [договор № ___ от ___], содержание ______, основной долг ______ руб., наступивший срок исполнения ______, полученные платежи учтены.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Денежное требование Стороны Б к Стороне А: основание [договор № ___ от ___], содержание ______, основной долг ______ руб., наступивший срок исполнения ______, полученные платежи учтены.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Стороны подтверждают встречный и однородный характер этих требований и отсутствие запретов на зачёт по статье 411 ГК РФ и специальному законодательству; споры, заявления о банкротстве и иные ограничения: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ЗАЧЁТ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Стороны производят зачёт встречных требований на сумму ______ руб. с даты ______. Сумма зачёта не превышает меньшего из зачтённых требований.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После зачёта остаток требования А к Б ______ руб.; остаток требования Б к А ______ руб. Не зачтённые суммы подлежат самостоятельному исполнению в установленные сроки.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Зачёт прекращает требования в согласованном объёме. Он не подтверждает передачу новых денежных средств, если Стороны не производили дополнительных платежей.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ДОКАЗАТЕЛЬСТВА И ПОДПИСИ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сверили документы-основания, расчёты и произведённые платежи; подписывают соглашение в двух экземплярах.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А: [реквизиты] ______ /______/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Б: [реквизиты] ______ /______/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ПРАВОВЫЕ НОРМЫ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Проверьте, что требования принадлежат именно двум сторонам, однородны, известны сроки и не действует законный запрет. Дважды проверьте арифметику остатка.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410 ГК РФ допускает зачёт встречных однородных требований при законных условиях. Статья 411 ГК РФ запрещает зачёт отдельных требований, включая алименты, вред жизни и здоровью, пожизненное содержание и требования с истекшей давностью. При банкротстве учитываются дополнительные запреты.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